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39" w:rsidRPr="007E7239" w:rsidRDefault="007E7239" w:rsidP="007E7239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fr-FR"/>
        </w:rPr>
      </w:pPr>
      <w:r w:rsidRPr="007E7239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fr-FR"/>
        </w:rPr>
        <w:t>La proposition de loi "Bien vieillir" adoptée après une journée d'incertitudes</w:t>
      </w:r>
    </w:p>
    <w:p w:rsidR="007E7239" w:rsidRDefault="007E7239" w:rsidP="007E7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23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42CCA0C" wp14:editId="5B31B9EC">
            <wp:extent cx="3810000" cy="2076450"/>
            <wp:effectExtent l="0" t="0" r="0" b="0"/>
            <wp:docPr id="2" name="Image 2" descr="https://www.lemediasocial.fr/hulkStatic/EL/ELI/2024/03/fb522b5f0-a09e-4a6a-beb8-256166a429a2/sharp_/ANX/khattabi-fadila-a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emediasocial.fr/hulkStatic/EL/ELI/2024/03/fb522b5f0-a09e-4a6a-beb8-256166a429a2/sharp_/ANX/khattabi-fadila-af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7239" w:rsidRPr="007E7239" w:rsidRDefault="007E7239" w:rsidP="007E7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2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ministre </w:t>
      </w:r>
      <w:proofErr w:type="spellStart"/>
      <w:r w:rsidRPr="007E7239">
        <w:rPr>
          <w:rFonts w:ascii="Times New Roman" w:eastAsia="Times New Roman" w:hAnsi="Times New Roman" w:cs="Times New Roman"/>
          <w:sz w:val="24"/>
          <w:szCs w:val="24"/>
          <w:lang w:eastAsia="fr-FR"/>
        </w:rPr>
        <w:t>Fadila</w:t>
      </w:r>
      <w:proofErr w:type="spellEnd"/>
      <w:r w:rsidRPr="007E72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E7239">
        <w:rPr>
          <w:rFonts w:ascii="Times New Roman" w:eastAsia="Times New Roman" w:hAnsi="Times New Roman" w:cs="Times New Roman"/>
          <w:sz w:val="24"/>
          <w:szCs w:val="24"/>
          <w:lang w:eastAsia="fr-FR"/>
        </w:rPr>
        <w:t>Khattabi</w:t>
      </w:r>
      <w:proofErr w:type="spellEnd"/>
      <w:r w:rsidRPr="007E72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</w:t>
      </w:r>
      <w:r w:rsidRPr="007E7239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19 mars</w:t>
      </w:r>
      <w:r w:rsidRPr="007E72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lors des questions au gouvernement, s'est voulu rassurante sur les suites données au vote de cette proposition de loi. - © </w:t>
      </w:r>
      <w:proofErr w:type="spellStart"/>
      <w:r w:rsidRPr="007E7239">
        <w:rPr>
          <w:rFonts w:ascii="Times New Roman" w:eastAsia="Times New Roman" w:hAnsi="Times New Roman" w:cs="Times New Roman"/>
          <w:sz w:val="24"/>
          <w:szCs w:val="24"/>
          <w:lang w:eastAsia="fr-FR"/>
        </w:rPr>
        <w:t>Xose</w:t>
      </w:r>
      <w:proofErr w:type="spellEnd"/>
      <w:r w:rsidRPr="007E72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E7239">
        <w:rPr>
          <w:rFonts w:ascii="Times New Roman" w:eastAsia="Times New Roman" w:hAnsi="Times New Roman" w:cs="Times New Roman"/>
          <w:sz w:val="24"/>
          <w:szCs w:val="24"/>
          <w:lang w:eastAsia="fr-FR"/>
        </w:rPr>
        <w:t>Bouzas</w:t>
      </w:r>
      <w:proofErr w:type="spellEnd"/>
      <w:r w:rsidRPr="007E7239">
        <w:rPr>
          <w:rFonts w:ascii="Times New Roman" w:eastAsia="Times New Roman" w:hAnsi="Times New Roman" w:cs="Times New Roman"/>
          <w:sz w:val="24"/>
          <w:szCs w:val="24"/>
          <w:lang w:eastAsia="fr-FR"/>
        </w:rPr>
        <w:t>/Hans Lucas via AFP</w:t>
      </w:r>
    </w:p>
    <w:p w:rsidR="007E7239" w:rsidRPr="007E7239" w:rsidRDefault="007E7239" w:rsidP="007E723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E723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Après l'accord trouvé entre commission mixte paritaire, le vote définitif de la proposition de loi "Bien vieillir" à l'Assemblée nationale aurait dû être une formalité : il n'en fut rien ! En cause, la non-reprise par le nouveau gouvernement de l'engagement pris par Élisabeth Borne d'une loi sur le grand âge. Récit d'une journée pleine de rebondissements.</w:t>
      </w:r>
    </w:p>
    <w:p w:rsidR="007E7239" w:rsidRPr="007E7239" w:rsidRDefault="007E7239" w:rsidP="007E723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E723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Finalement, mardi 19 mars en fin de soirée, l'Assemblée nationale a voté la version de la proposition de loi (PPL) « Bien vieillir » issue de la</w:t>
      </w:r>
      <w:hyperlink r:id="rId6" w:tgtFrame="_blank" w:history="1">
        <w:r w:rsidRPr="007E7239">
          <w:rPr>
            <w:rFonts w:ascii="Times New Roman" w:eastAsia="Times New Roman" w:hAnsi="Times New Roman" w:cs="Times New Roman"/>
            <w:color w:val="D50000"/>
            <w:sz w:val="28"/>
            <w:szCs w:val="28"/>
            <w:lang w:eastAsia="fr-FR"/>
          </w:rPr>
          <w:t> commission mixte paritaire</w:t>
        </w:r>
      </w:hyperlink>
      <w:r w:rsidRPr="007E723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 Le score large de ce scrutin (177 pour, 51 contre) ne traduit pas le suspense qui a plané tout au long de la journée. En voici le résumé.</w:t>
      </w:r>
    </w:p>
    <w:p w:rsidR="007E7239" w:rsidRPr="007E7239" w:rsidRDefault="007E7239" w:rsidP="007E72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44"/>
          <w:szCs w:val="44"/>
          <w:lang w:eastAsia="fr-FR"/>
        </w:rPr>
      </w:pPr>
      <w:r w:rsidRPr="007E7239">
        <w:rPr>
          <w:rFonts w:ascii="Arial" w:eastAsia="Times New Roman" w:hAnsi="Arial" w:cs="Arial"/>
          <w:color w:val="000000"/>
          <w:sz w:val="44"/>
          <w:szCs w:val="44"/>
          <w:lang w:eastAsia="fr-FR"/>
        </w:rPr>
        <w:t>Apéritif ou plat de résistance ?</w:t>
      </w:r>
    </w:p>
    <w:p w:rsidR="007E7239" w:rsidRPr="007E7239" w:rsidRDefault="007E7239" w:rsidP="007E7239">
      <w:pPr>
        <w:spacing w:before="240"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7E723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Ça commence sur France inter, à 8 h 20, avec trois invités : la députée Renaissance Annie Vidal, </w:t>
      </w:r>
      <w:proofErr w:type="spellStart"/>
      <w:r w:rsidRPr="007E723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co</w:t>
      </w:r>
      <w:proofErr w:type="spellEnd"/>
      <w:r w:rsidRPr="007E723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-rapporteure de la PPL, le journaliste Victor Castanet et le nouveau patron d'</w:t>
      </w:r>
      <w:proofErr w:type="spellStart"/>
      <w:r w:rsidRPr="007E723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Orpea</w:t>
      </w:r>
      <w:proofErr w:type="spellEnd"/>
      <w:r w:rsidRPr="007E723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, Laurent Guillot. Honnête, la parlementaire reconnaît ne pas avoir de calendrier sur une future loi grand âge (la PPL Bien vieillir ayant toujours été considérée comme une première brique).</w:t>
      </w:r>
    </w:p>
    <w:p w:rsidR="007E7239" w:rsidRPr="007E7239" w:rsidRDefault="007E7239" w:rsidP="007E7239">
      <w:pPr>
        <w:spacing w:before="240"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7E723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Intervenant à l'antenne, le député socialiste Jérôme Guedj a des mots très durs sur ce nouveau gouvernement qui ne se sent pas tenu par la promesse du précédent (</w:t>
      </w:r>
      <w:hyperlink r:id="rId7" w:tgtFrame="_blank" w:history="1">
        <w:r w:rsidRPr="007E7239">
          <w:rPr>
            <w:rFonts w:ascii="Arial" w:eastAsia="Times New Roman" w:hAnsi="Arial" w:cs="Arial"/>
            <w:color w:val="D50000"/>
            <w:sz w:val="26"/>
            <w:szCs w:val="26"/>
            <w:lang w:eastAsia="fr-FR"/>
          </w:rPr>
          <w:t>celui d'Élisabeth Borne</w:t>
        </w:r>
      </w:hyperlink>
      <w:r w:rsidRPr="007E723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) pourtant issu de la même majorité. </w:t>
      </w:r>
      <w:r w:rsidRPr="007E7239">
        <w:rPr>
          <w:rFonts w:ascii="Arial" w:eastAsia="Times New Roman" w:hAnsi="Arial" w:cs="Arial"/>
          <w:i/>
          <w:iCs/>
          <w:color w:val="000000"/>
          <w:sz w:val="26"/>
          <w:szCs w:val="26"/>
          <w:lang w:eastAsia="fr-FR"/>
        </w:rPr>
        <w:t>« C'est un bras d'honneur aux parlementaires »,</w:t>
      </w:r>
      <w:r w:rsidRPr="007E723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 s'exclame-t-il. Au cours du débat radiophonique, l'animateur Nicolas </w:t>
      </w:r>
      <w:proofErr w:type="spellStart"/>
      <w:r w:rsidRPr="007E723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Demorand</w:t>
      </w:r>
      <w:proofErr w:type="spellEnd"/>
      <w:r w:rsidRPr="007E723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s'interroge à propos de cette PPL : </w:t>
      </w:r>
      <w:r w:rsidRPr="007E7239">
        <w:rPr>
          <w:rFonts w:ascii="Arial" w:eastAsia="Times New Roman" w:hAnsi="Arial" w:cs="Arial"/>
          <w:i/>
          <w:iCs/>
          <w:color w:val="000000"/>
          <w:sz w:val="26"/>
          <w:szCs w:val="26"/>
          <w:lang w:eastAsia="fr-FR"/>
        </w:rPr>
        <w:t>« Cette loi, c'est l'apéritif ou le plat de résistance ? »</w:t>
      </w:r>
    </w:p>
    <w:p w:rsidR="002E1A69" w:rsidRPr="002E1A69" w:rsidRDefault="002E1A69" w:rsidP="002E1A69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E1A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lastRenderedPageBreak/>
        <w:t>Proposition de loi "Bien vieillir" : un accord a été trouvé entre sénateurs et députés</w:t>
      </w:r>
    </w:p>
    <w:p w:rsidR="002E1A69" w:rsidRDefault="002E1A69" w:rsidP="002E1A69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2E1A69">
        <w:rPr>
          <w:rFonts w:ascii="Arial" w:eastAsia="Times New Roman" w:hAnsi="Arial" w:cs="Arial"/>
          <w:noProof/>
          <w:color w:val="000000"/>
          <w:sz w:val="26"/>
          <w:szCs w:val="26"/>
          <w:lang w:eastAsia="fr-FR"/>
        </w:rPr>
        <w:drawing>
          <wp:inline distT="0" distB="0" distL="0" distR="0" wp14:anchorId="42CFFE15" wp14:editId="66DDFD1C">
            <wp:extent cx="3667125" cy="2057400"/>
            <wp:effectExtent l="0" t="0" r="9525" b="0"/>
            <wp:docPr id="1" name="Image 1" descr="https://www.lemediasocial.fr/hulkStatic/EL/ELI/2024/03/fbb160077-adc0-409e-aef7-f6e74ad63187/sharp_/ANX/assemblee-nationale-getty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mediasocial.fr/hulkStatic/EL/ELI/2024/03/fbb160077-adc0-409e-aef7-f6e74ad63187/sharp_/ANX/assemblee-nationale-getty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69" w:rsidRPr="002E1A69" w:rsidRDefault="002E1A69" w:rsidP="002E1A69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2E1A6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Députés et sénateurs sont parvenus à un accord en commission mixte paritaire sur la proposition de loi "Bien vieillir". - © Getty image</w:t>
      </w:r>
    </w:p>
    <w:p w:rsidR="002E1A69" w:rsidRPr="002E1A69" w:rsidRDefault="002E1A69" w:rsidP="002E1A69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E1A69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Le 12 mars</w:t>
      </w:r>
      <w:r w:rsidRPr="002E1A69">
        <w:rPr>
          <w:rFonts w:ascii="Times New Roman" w:eastAsia="Times New Roman" w:hAnsi="Times New Roman" w:cs="Times New Roman"/>
          <w:sz w:val="28"/>
          <w:szCs w:val="28"/>
          <w:lang w:eastAsia="fr-FR"/>
        </w:rPr>
        <w:t>, un accord a été trouvé en commission mixte paritaire sur la proposition de loi « Bien vieillir », ce alors que les deux chambres parlementaires avaient voté des textes passablement différents.</w:t>
      </w:r>
    </w:p>
    <w:p w:rsidR="002E1A69" w:rsidRPr="002E1A69" w:rsidRDefault="002E1A69" w:rsidP="002E1A69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E1A69">
        <w:rPr>
          <w:rFonts w:ascii="Times New Roman" w:eastAsia="Times New Roman" w:hAnsi="Times New Roman" w:cs="Times New Roman"/>
          <w:sz w:val="28"/>
          <w:szCs w:val="28"/>
          <w:lang w:eastAsia="fr-FR"/>
        </w:rPr>
        <w:t>Différentes dispositions qui faisaient l'objet d'un consensus comme la carte professionnelle pour les aides à domicile ou la création d'un </w:t>
      </w:r>
      <w:hyperlink r:id="rId9" w:tgtFrame="_blank" w:history="1">
        <w:r w:rsidRPr="002E1A69">
          <w:rPr>
            <w:rFonts w:ascii="Times New Roman" w:eastAsia="Times New Roman" w:hAnsi="Times New Roman" w:cs="Times New Roman"/>
            <w:color w:val="D50000"/>
            <w:sz w:val="28"/>
            <w:szCs w:val="28"/>
            <w:u w:val="single"/>
            <w:lang w:eastAsia="fr-FR"/>
          </w:rPr>
          <w:t>service public départemental de l'autonomie</w:t>
        </w:r>
      </w:hyperlink>
      <w:r w:rsidRPr="002E1A69">
        <w:rPr>
          <w:rFonts w:ascii="Times New Roman" w:eastAsia="Times New Roman" w:hAnsi="Times New Roman" w:cs="Times New Roman"/>
          <w:sz w:val="28"/>
          <w:szCs w:val="28"/>
          <w:lang w:eastAsia="fr-FR"/>
        </w:rPr>
        <w:t> sont confirmées. La possibilité d'accueillir un</w:t>
      </w:r>
      <w:hyperlink r:id="rId10" w:tgtFrame="_blank" w:history="1">
        <w:r w:rsidRPr="002E1A69">
          <w:rPr>
            <w:rFonts w:ascii="Times New Roman" w:eastAsia="Times New Roman" w:hAnsi="Times New Roman" w:cs="Times New Roman"/>
            <w:color w:val="D50000"/>
            <w:sz w:val="28"/>
            <w:szCs w:val="28"/>
            <w:u w:val="single"/>
            <w:lang w:eastAsia="fr-FR"/>
          </w:rPr>
          <w:t> animal domestique</w:t>
        </w:r>
      </w:hyperlink>
      <w:r w:rsidRPr="002E1A6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 en Ehpad est prévue mais encadrée afin de garantir la santé et la sécurité des résidents et du personnel, ainsi que le </w:t>
      </w:r>
      <w:proofErr w:type="spellStart"/>
      <w:r w:rsidRPr="002E1A69">
        <w:rPr>
          <w:rFonts w:ascii="Times New Roman" w:eastAsia="Times New Roman" w:hAnsi="Times New Roman" w:cs="Times New Roman"/>
          <w:sz w:val="28"/>
          <w:szCs w:val="28"/>
          <w:lang w:eastAsia="fr-FR"/>
        </w:rPr>
        <w:t>bien être</w:t>
      </w:r>
      <w:proofErr w:type="spellEnd"/>
      <w:r w:rsidRPr="002E1A6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des animaux. Un droit de visite inconditionnel est reconnu pour les personnes en fin de vie ou en soins palliatifs.</w:t>
      </w:r>
    </w:p>
    <w:p w:rsidR="002E1A69" w:rsidRPr="002E1A69" w:rsidRDefault="002E1A69" w:rsidP="002E1A69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E1A69">
        <w:rPr>
          <w:rFonts w:ascii="Times New Roman" w:eastAsia="Times New Roman" w:hAnsi="Times New Roman" w:cs="Times New Roman"/>
          <w:sz w:val="28"/>
          <w:szCs w:val="28"/>
          <w:lang w:eastAsia="fr-FR"/>
        </w:rPr>
        <w:t>Concernant la protection juridique des majeurs, le texte adopté par la CMP prévoit la création d'un registre national des mesures de protection.</w:t>
      </w:r>
    </w:p>
    <w:p w:rsidR="002E1A69" w:rsidRPr="002E1A69" w:rsidRDefault="002E1A69" w:rsidP="002E1A69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E1A69">
        <w:rPr>
          <w:rFonts w:ascii="Times New Roman" w:eastAsia="Times New Roman" w:hAnsi="Times New Roman" w:cs="Times New Roman"/>
          <w:sz w:val="28"/>
          <w:szCs w:val="28"/>
          <w:lang w:eastAsia="fr-FR"/>
        </w:rPr>
        <w:t>Sur la question de la création des services autonomie à domicile (SAD), les parlementaires ont été sensibles aux </w:t>
      </w:r>
      <w:hyperlink r:id="rId11" w:tgtFrame="_blank" w:history="1">
        <w:r w:rsidRPr="002E1A69">
          <w:rPr>
            <w:rFonts w:ascii="Times New Roman" w:eastAsia="Times New Roman" w:hAnsi="Times New Roman" w:cs="Times New Roman"/>
            <w:color w:val="D50000"/>
            <w:sz w:val="28"/>
            <w:szCs w:val="28"/>
            <w:u w:val="single"/>
            <w:lang w:eastAsia="fr-FR"/>
          </w:rPr>
          <w:t>critiques développées par les Ssiad</w:t>
        </w:r>
      </w:hyperlink>
      <w:r w:rsidRPr="002E1A69">
        <w:rPr>
          <w:rFonts w:ascii="Times New Roman" w:eastAsia="Times New Roman" w:hAnsi="Times New Roman" w:cs="Times New Roman"/>
          <w:sz w:val="28"/>
          <w:szCs w:val="28"/>
          <w:lang w:eastAsia="fr-FR"/>
        </w:rPr>
        <w:t>. Ainsi, un Ssiad pourra poursuivre son activité pendant une durée de cinq ans dans le cadre d’une convention ou d’un groupement à défaut de présenter une demande d’autorisation en SAD, et la date limite pour déposer cette demande d’autorisation est repoussée de six mois, au 31 décembre 2025.</w:t>
      </w:r>
    </w:p>
    <w:p w:rsidR="002E1A69" w:rsidRPr="002E1A69" w:rsidRDefault="002E1A69" w:rsidP="002E1A69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E1A69">
        <w:rPr>
          <w:rFonts w:ascii="Times New Roman" w:eastAsia="Times New Roman" w:hAnsi="Times New Roman" w:cs="Times New Roman"/>
          <w:sz w:val="28"/>
          <w:szCs w:val="28"/>
          <w:lang w:eastAsia="fr-FR"/>
        </w:rPr>
        <w:t>Pour être définitif, le texte doit encore être définitivement adopté par l'Assemblée nationale (19 mars) et le Sénat (27 mars).</w:t>
      </w:r>
    </w:p>
    <w:sectPr w:rsidR="002E1A69" w:rsidRPr="002E1A69" w:rsidSect="007E72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F46"/>
    <w:multiLevelType w:val="multilevel"/>
    <w:tmpl w:val="B170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69"/>
    <w:rsid w:val="000E5A2A"/>
    <w:rsid w:val="002E1A69"/>
    <w:rsid w:val="007E7239"/>
    <w:rsid w:val="00F4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016B"/>
  <w15:chartTrackingRefBased/>
  <w15:docId w15:val="{BAA855B4-112C-4B40-A15F-C292C463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2D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dom">
    <w:name w:val="style dom"/>
    <w:basedOn w:val="Titre2"/>
    <w:link w:val="styledomCar"/>
    <w:qFormat/>
    <w:rsid w:val="00F42D81"/>
    <w:pPr>
      <w:spacing w:before="160" w:line="240" w:lineRule="auto"/>
    </w:pPr>
    <w:rPr>
      <w:sz w:val="28"/>
      <w:szCs w:val="28"/>
    </w:rPr>
  </w:style>
  <w:style w:type="character" w:customStyle="1" w:styleId="styledomCar">
    <w:name w:val="style dom Car"/>
    <w:basedOn w:val="Titre2Car"/>
    <w:link w:val="styledom"/>
    <w:rsid w:val="00F42D8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42D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6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872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mediasocial.fr/grand-age-une-loi-de-programmation-annoncee-avant-l-ete_uDvdW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mediasocial.fr/proposition-de-loi-bien-vieillir-un-accord-a-ete-trouve-entre-senateurs-et-deputes_0fBUNe" TargetMode="External"/><Relationship Id="rId11" Type="http://schemas.openxmlformats.org/officeDocument/2006/relationships/hyperlink" Target="https://www.lemediasocial.fr/avec-la-reforme-les-ssiad-ont-le-choix-entre-s-integrer-et-se-desintegrer_rc5SV8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lemediasocial.fr/droit-des-residents-d-ehpad-d-accueillir-leur-animal-sous-quelles-conditions_8os5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mediasocial.fr/18-departements-vont-prefigurer-le-service-public-de-l-autonomie_cYv6z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Domie C</dc:creator>
  <cp:keywords/>
  <dc:description/>
  <cp:lastModifiedBy>Domie C</cp:lastModifiedBy>
  <cp:revision>5</cp:revision>
  <dcterms:created xsi:type="dcterms:W3CDTF">2024-03-21T10:48:00Z</dcterms:created>
  <dcterms:modified xsi:type="dcterms:W3CDTF">2024-03-21T10:58:00Z</dcterms:modified>
</cp:coreProperties>
</file>