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250D" w14:textId="7D67BE1F" w:rsidR="000E5A2A" w:rsidRDefault="00D464CA">
      <w:r>
        <w:rPr>
          <w:noProof/>
        </w:rPr>
        <w:drawing>
          <wp:inline distT="0" distB="0" distL="0" distR="0" wp14:anchorId="461E3762" wp14:editId="3FCED900">
            <wp:extent cx="5942965" cy="4133215"/>
            <wp:effectExtent l="0" t="0" r="635" b="635"/>
            <wp:docPr id="14137723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413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581ED" w14:textId="77777777" w:rsidR="00D464CA" w:rsidRPr="00D464CA" w:rsidRDefault="00D464CA" w:rsidP="00D464CA">
      <w:pPr>
        <w:spacing w:before="100" w:beforeAutospacing="1" w:after="100" w:afterAutospacing="1" w:line="240" w:lineRule="auto"/>
        <w:jc w:val="both"/>
        <w:rPr>
          <w:rFonts w:ascii="Georgia" w:eastAsia="Calibri" w:hAnsi="Georgia" w:cs="Calibri"/>
          <w:b/>
          <w:bCs/>
          <w:color w:val="44546A"/>
          <w:kern w:val="0"/>
          <w:lang w:eastAsia="fr-FR"/>
          <w14:ligatures w14:val="none"/>
        </w:rPr>
      </w:pPr>
      <w:r w:rsidRPr="00D464CA">
        <w:rPr>
          <w:rFonts w:ascii="Georgia" w:eastAsia="Calibri" w:hAnsi="Georgia" w:cs="Calibri"/>
          <w:color w:val="44546A"/>
          <w:kern w:val="0"/>
          <w:lang w:eastAsia="fr-FR"/>
          <w14:ligatures w14:val="none"/>
        </w:rPr>
        <w:t xml:space="preserve">À l’occasion de la Semaine de la Protection Juridique des Majeurs (2–8 mars 2026), l’UDAF de l’Yonne a réalisé un film de 30 minutes intitulé </w:t>
      </w:r>
      <w:r w:rsidRPr="00D464CA">
        <w:rPr>
          <w:rFonts w:ascii="Georgia" w:eastAsia="Calibri" w:hAnsi="Georgia" w:cs="Calibri"/>
          <w:b/>
          <w:bCs/>
          <w:color w:val="44546A"/>
          <w:kern w:val="0"/>
          <w:lang w:eastAsia="fr-FR"/>
          <w14:ligatures w14:val="none"/>
        </w:rPr>
        <w:t>«</w:t>
      </w:r>
      <w:r w:rsidRPr="00D464CA">
        <w:rPr>
          <w:rFonts w:ascii="Times New Roman" w:eastAsia="Calibri" w:hAnsi="Times New Roman" w:cs="Times New Roman"/>
          <w:b/>
          <w:bCs/>
          <w:color w:val="44546A"/>
          <w:kern w:val="0"/>
          <w:lang w:eastAsia="fr-FR"/>
          <w14:ligatures w14:val="none"/>
        </w:rPr>
        <w:t> </w:t>
      </w:r>
      <w:r w:rsidRPr="00D464CA">
        <w:rPr>
          <w:rFonts w:ascii="Georgia" w:eastAsia="Calibri" w:hAnsi="Georgia" w:cs="Calibri"/>
          <w:b/>
          <w:bCs/>
          <w:color w:val="44546A"/>
          <w:kern w:val="0"/>
          <w:lang w:eastAsia="fr-FR"/>
          <w14:ligatures w14:val="none"/>
        </w:rPr>
        <w:t>Les mesures judiciaires de protection des majeurs</w:t>
      </w:r>
      <w:r w:rsidRPr="00D464CA">
        <w:rPr>
          <w:rFonts w:ascii="Times New Roman" w:eastAsia="Calibri" w:hAnsi="Times New Roman" w:cs="Times New Roman"/>
          <w:b/>
          <w:bCs/>
          <w:color w:val="44546A"/>
          <w:kern w:val="0"/>
          <w:lang w:eastAsia="fr-FR"/>
          <w14:ligatures w14:val="none"/>
        </w:rPr>
        <w:t> </w:t>
      </w:r>
      <w:r w:rsidRPr="00D464CA">
        <w:rPr>
          <w:rFonts w:ascii="Georgia" w:eastAsia="Calibri" w:hAnsi="Georgia" w:cs="Calibri"/>
          <w:b/>
          <w:bCs/>
          <w:color w:val="44546A"/>
          <w:kern w:val="0"/>
          <w:lang w:eastAsia="fr-FR"/>
          <w14:ligatures w14:val="none"/>
        </w:rPr>
        <w:t>».</w:t>
      </w:r>
    </w:p>
    <w:p w14:paraId="2DA637B7" w14:textId="7519E211" w:rsidR="00D464CA" w:rsidRDefault="00D464CA" w:rsidP="00D464CA">
      <w:pPr>
        <w:spacing w:before="100" w:beforeAutospacing="1" w:after="100" w:afterAutospacing="1" w:line="300" w:lineRule="atLeast"/>
        <w:rPr>
          <w:rFonts w:ascii="Georgia" w:eastAsia="Calibri" w:hAnsi="Georgia" w:cs="Calibri"/>
          <w:color w:val="44546A"/>
          <w:kern w:val="0"/>
          <w:sz w:val="24"/>
          <w:szCs w:val="24"/>
          <w:lang w:eastAsia="fr-FR"/>
          <w14:ligatures w14:val="none"/>
        </w:rPr>
      </w:pPr>
      <w:r w:rsidRPr="00D464CA">
        <w:rPr>
          <w:rFonts w:ascii="Georgia" w:eastAsia="Calibri" w:hAnsi="Georgia" w:cs="Calibri"/>
          <w:color w:val="44546A"/>
          <w:kern w:val="0"/>
          <w:sz w:val="24"/>
          <w:szCs w:val="24"/>
          <w:lang w:eastAsia="fr-FR"/>
          <w14:ligatures w14:val="none"/>
        </w:rPr>
        <w:t>Ce film constitue un outil pédagogique présentant les différentes étapes d’une mesure</w:t>
      </w:r>
      <w:r>
        <w:rPr>
          <w:rFonts w:ascii="Georgia" w:eastAsia="Calibri" w:hAnsi="Georgia" w:cs="Calibri"/>
          <w:color w:val="44546A"/>
          <w:kern w:val="0"/>
          <w:sz w:val="24"/>
          <w:szCs w:val="24"/>
          <w:lang w:eastAsia="fr-FR"/>
          <w14:ligatures w14:val="none"/>
        </w:rPr>
        <w:t> :</w:t>
      </w:r>
      <w:r w:rsidRPr="00D464CA">
        <w:rPr>
          <w:rFonts w:ascii="Georgia" w:eastAsia="Calibri" w:hAnsi="Georgia" w:cs="Calibri"/>
          <w:color w:val="44546A"/>
          <w:kern w:val="0"/>
          <w:sz w:val="24"/>
          <w:szCs w:val="24"/>
          <w:lang w:eastAsia="fr-FR"/>
          <w14:ligatures w14:val="none"/>
        </w:rPr>
        <w:t xml:space="preserve"> son ouverture, son suivi, son déroulement au quotidien et sa clôture. Il a été réalisé avec la participation de professionnels ainsi que de personnes bénéficiant d’une mesure de protection.</w:t>
      </w:r>
    </w:p>
    <w:p w14:paraId="430F58D4" w14:textId="4833E4AB" w:rsidR="00545024" w:rsidRPr="00D464CA" w:rsidRDefault="00545024" w:rsidP="00D464CA">
      <w:pPr>
        <w:spacing w:before="100" w:beforeAutospacing="1" w:after="100" w:afterAutospacing="1" w:line="300" w:lineRule="atLeast"/>
        <w:rPr>
          <w:rFonts w:ascii="Georgia" w:eastAsia="Calibri" w:hAnsi="Georgia" w:cs="Calibri"/>
          <w:color w:val="44546A"/>
          <w:kern w:val="0"/>
          <w:sz w:val="24"/>
          <w:szCs w:val="24"/>
          <w:lang w:eastAsia="fr-FR"/>
          <w14:ligatures w14:val="none"/>
        </w:rPr>
      </w:pPr>
      <w:r>
        <w:rPr>
          <w:rFonts w:ascii="Georgia" w:eastAsia="Calibri" w:hAnsi="Georgia" w:cs="Calibri"/>
          <w:color w:val="44546A"/>
          <w:kern w:val="0"/>
          <w:sz w:val="24"/>
          <w:szCs w:val="24"/>
          <w:lang w:eastAsia="fr-FR"/>
          <w14:ligatures w14:val="none"/>
        </w:rPr>
        <w:t>Confirmer votre présence à udaf89@udaf89.fr</w:t>
      </w:r>
    </w:p>
    <w:p w14:paraId="19D646E8" w14:textId="77777777" w:rsidR="00D464CA" w:rsidRDefault="00D464CA" w:rsidP="00D464CA">
      <w:pPr>
        <w:ind w:right="-142"/>
      </w:pPr>
    </w:p>
    <w:sectPr w:rsidR="00D46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CA"/>
    <w:rsid w:val="0009060E"/>
    <w:rsid w:val="00090D3D"/>
    <w:rsid w:val="000E5A2A"/>
    <w:rsid w:val="00545024"/>
    <w:rsid w:val="00D464CA"/>
    <w:rsid w:val="00F4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E59B"/>
  <w15:chartTrackingRefBased/>
  <w15:docId w15:val="{101F498C-8C7D-4B07-AFCB-03E300AF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2D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6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6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6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6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6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6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dom">
    <w:name w:val="style dom"/>
    <w:basedOn w:val="Titre2"/>
    <w:link w:val="styledomCar"/>
    <w:qFormat/>
    <w:rsid w:val="00F42D81"/>
    <w:pPr>
      <w:spacing w:before="160" w:line="240" w:lineRule="auto"/>
    </w:pPr>
    <w:rPr>
      <w:sz w:val="28"/>
      <w:szCs w:val="28"/>
    </w:rPr>
  </w:style>
  <w:style w:type="character" w:customStyle="1" w:styleId="styledomCar">
    <w:name w:val="style dom Car"/>
    <w:basedOn w:val="Titre2Car"/>
    <w:link w:val="styledom"/>
    <w:rsid w:val="00F42D8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42D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4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D4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64C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64C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64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64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64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64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6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64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64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64C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64C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6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cailhol</dc:creator>
  <cp:keywords/>
  <dc:description/>
  <cp:lastModifiedBy>dominique cailhol</cp:lastModifiedBy>
  <cp:revision>1</cp:revision>
  <dcterms:created xsi:type="dcterms:W3CDTF">2026-02-10T10:44:00Z</dcterms:created>
  <dcterms:modified xsi:type="dcterms:W3CDTF">2026-02-10T14:45:00Z</dcterms:modified>
</cp:coreProperties>
</file>